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4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p>
      <w:pPr>
        <w:spacing w:line="534" w:lineRule="exact"/>
        <w:jc w:val="both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</w:p>
    <w:p>
      <w:pPr>
        <w:spacing w:line="534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关于做好202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年度专业技术人员继续教育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有关工作的通知</w:t>
      </w:r>
    </w:p>
    <w:p>
      <w:pPr>
        <w:spacing w:line="580" w:lineRule="exact"/>
        <w:rPr>
          <w:rFonts w:ascii="仿宋_GB2312" w:hAnsi="黑体" w:eastAsia="仿宋_GB2312" w:cs="黑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黑体" w:eastAsia="仿宋_GB2312" w:cs="黑体"/>
          <w:color w:val="auto"/>
        </w:rPr>
      </w:pPr>
      <w:r>
        <w:rPr>
          <w:rFonts w:hint="eastAsia" w:ascii="仿宋_GB2312" w:hAnsi="黑体" w:eastAsia="仿宋_GB2312" w:cs="黑体"/>
          <w:color w:val="auto"/>
        </w:rPr>
        <w:t>各区县人力资源社会保障局，高新区人社中心，</w:t>
      </w:r>
      <w:r>
        <w:rPr>
          <w:rFonts w:hint="eastAsia" w:ascii="仿宋_GB2312" w:hAnsi="黑体" w:eastAsia="仿宋_GB2312" w:cs="黑体"/>
          <w:color w:val="auto"/>
          <w:lang w:eastAsia="zh-CN"/>
        </w:rPr>
        <w:t>市直</w:t>
      </w:r>
      <w:r>
        <w:rPr>
          <w:rFonts w:hint="eastAsia" w:ascii="仿宋_GB2312" w:hAnsi="黑体" w:eastAsia="仿宋_GB2312" w:cs="黑体"/>
          <w:color w:val="auto"/>
        </w:rPr>
        <w:t>有关部门(单位)，</w:t>
      </w:r>
      <w:r>
        <w:rPr>
          <w:rFonts w:hint="eastAsia" w:ascii="仿宋_GB2312" w:hAnsi="黑体" w:eastAsia="仿宋_GB2312" w:cs="黑体"/>
          <w:color w:val="auto"/>
          <w:lang w:eastAsia="zh-CN"/>
        </w:rPr>
        <w:t>各高等院校、专业技术人员</w:t>
      </w:r>
      <w:r>
        <w:rPr>
          <w:rFonts w:hint="eastAsia" w:ascii="仿宋_GB2312" w:hAnsi="黑体" w:eastAsia="仿宋_GB2312" w:cs="黑体"/>
          <w:color w:val="auto"/>
        </w:rPr>
        <w:t>继续教育基地：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 w:cs="仿宋_GB2312"/>
          <w:color w:val="auto"/>
        </w:rPr>
      </w:pPr>
      <w:r>
        <w:rPr>
          <w:rFonts w:hint="eastAsia" w:ascii="仿宋_GB2312" w:hAnsi="仿宋" w:eastAsia="仿宋_GB2312" w:cs="仿宋"/>
          <w:color w:val="auto"/>
        </w:rPr>
        <w:t>根据《专业技术人员继续教育规定》（人力资源社会保障部令第25号）、《山东省专业技术人</w:t>
      </w:r>
      <w:r>
        <w:rPr>
          <w:rFonts w:hint="eastAsia" w:ascii="仿宋_GB2312" w:hAnsi="仿宋" w:eastAsia="仿宋_GB2312" w:cs="仿宋"/>
          <w:color w:val="auto"/>
          <w:lang w:eastAsia="zh-CN"/>
        </w:rPr>
        <w:t>才知识更新工程（</w:t>
      </w:r>
      <w:r>
        <w:rPr>
          <w:rFonts w:hint="eastAsia" w:ascii="仿宋_GB2312" w:hAnsi="仿宋" w:eastAsia="仿宋_GB2312" w:cs="仿宋"/>
          <w:color w:val="auto"/>
          <w:lang w:val="en-US" w:eastAsia="zh-CN"/>
        </w:rPr>
        <w:t>2022-2030年</w:t>
      </w:r>
      <w:r>
        <w:rPr>
          <w:rFonts w:hint="eastAsia" w:ascii="仿宋_GB2312" w:hAnsi="仿宋" w:eastAsia="仿宋_GB2312" w:cs="仿宋"/>
          <w:color w:val="auto"/>
          <w:lang w:eastAsia="zh-CN"/>
        </w:rPr>
        <w:t>）实施方案</w:t>
      </w:r>
      <w:r>
        <w:rPr>
          <w:rFonts w:hint="eastAsia" w:ascii="仿宋_GB2312" w:hAnsi="仿宋" w:eastAsia="仿宋_GB2312" w:cs="仿宋"/>
          <w:color w:val="auto"/>
        </w:rPr>
        <w:t>》</w:t>
      </w:r>
      <w:r>
        <w:rPr>
          <w:rFonts w:hint="eastAsia" w:ascii="仿宋_GB2312" w:hAnsi="仿宋" w:eastAsia="仿宋_GB2312" w:cs="仿宋"/>
          <w:color w:val="auto"/>
          <w:lang w:eastAsia="zh-CN"/>
        </w:rPr>
        <w:t>（鲁人社发</w:t>
      </w:r>
      <w:r>
        <w:rPr>
          <w:rFonts w:hint="eastAsia" w:ascii="仿宋_GB2312" w:hAnsi="Verdana" w:eastAsia="仿宋_GB2312"/>
          <w:color w:val="auto"/>
          <w:sz w:val="32"/>
        </w:rPr>
        <w:t>〔202</w:t>
      </w:r>
      <w:r>
        <w:rPr>
          <w:rFonts w:hint="eastAsia" w:ascii="仿宋_GB2312" w:hAnsi="Verdana" w:eastAsia="仿宋_GB2312"/>
          <w:color w:val="auto"/>
          <w:sz w:val="32"/>
          <w:lang w:val="en-US" w:eastAsia="zh-CN"/>
        </w:rPr>
        <w:t>2</w:t>
      </w:r>
      <w:r>
        <w:rPr>
          <w:rFonts w:hint="eastAsia" w:ascii="仿宋_GB2312" w:hAnsi="Verdana" w:eastAsia="仿宋_GB2312"/>
          <w:color w:val="auto"/>
          <w:sz w:val="32"/>
        </w:rPr>
        <w:t>〕</w:t>
      </w:r>
      <w:r>
        <w:rPr>
          <w:rFonts w:hint="eastAsia" w:ascii="仿宋_GB2312" w:hAnsi="仿宋" w:eastAsia="仿宋_GB2312" w:cs="仿宋"/>
          <w:color w:val="auto"/>
          <w:lang w:val="en-US" w:eastAsia="zh-CN"/>
        </w:rPr>
        <w:t>26号</w:t>
      </w:r>
      <w:r>
        <w:rPr>
          <w:rFonts w:hint="eastAsia" w:ascii="仿宋_GB2312" w:hAnsi="仿宋" w:eastAsia="仿宋_GB2312" w:cs="仿宋"/>
          <w:color w:val="auto"/>
          <w:lang w:eastAsia="zh-CN"/>
        </w:rPr>
        <w:t>）、</w:t>
      </w:r>
      <w:r>
        <w:rPr>
          <w:rFonts w:hint="eastAsia" w:ascii="仿宋_GB2312" w:hAnsi="仿宋" w:eastAsia="仿宋_GB2312" w:cs="仿宋"/>
          <w:color w:val="auto"/>
        </w:rPr>
        <w:t>《山东省人力资源</w:t>
      </w:r>
      <w:r>
        <w:rPr>
          <w:rFonts w:hint="eastAsia" w:ascii="仿宋_GB2312" w:hAnsi="仿宋" w:eastAsia="仿宋_GB2312" w:cs="仿宋"/>
          <w:color w:val="auto"/>
          <w:lang w:eastAsia="zh-CN"/>
        </w:rPr>
        <w:t>和</w:t>
      </w:r>
      <w:r>
        <w:rPr>
          <w:rFonts w:hint="eastAsia" w:ascii="仿宋_GB2312" w:hAnsi="仿宋" w:eastAsia="仿宋_GB2312" w:cs="仿宋"/>
          <w:color w:val="auto"/>
        </w:rPr>
        <w:t>社会保障厅关于做好202</w:t>
      </w:r>
      <w:r>
        <w:rPr>
          <w:rFonts w:hint="eastAsia" w:ascii="仿宋_GB2312" w:hAnsi="仿宋" w:eastAsia="仿宋_GB2312" w:cs="仿宋"/>
          <w:color w:val="auto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</w:rPr>
        <w:t>年度专业技术人员继续教育有关工作的通知》等</w:t>
      </w:r>
      <w:r>
        <w:rPr>
          <w:rFonts w:hint="eastAsia" w:ascii="仿宋_GB2312" w:hAnsi="仿宋" w:eastAsia="仿宋_GB2312" w:cs="仿宋"/>
          <w:color w:val="auto"/>
          <w:lang w:eastAsia="zh-CN"/>
        </w:rPr>
        <w:t>有关规定</w:t>
      </w:r>
      <w:r>
        <w:rPr>
          <w:rFonts w:hint="eastAsia" w:ascii="仿宋_GB2312" w:hAnsi="仿宋" w:eastAsia="仿宋_GB2312" w:cs="仿宋"/>
          <w:color w:val="auto"/>
        </w:rPr>
        <w:t>，</w:t>
      </w:r>
      <w:r>
        <w:rPr>
          <w:rFonts w:hint="eastAsia" w:ascii="仿宋_GB2312" w:eastAsia="仿宋_GB2312" w:cs="仿宋_GB2312"/>
          <w:color w:val="auto"/>
        </w:rPr>
        <w:t>现就做好我市</w:t>
      </w:r>
      <w:r>
        <w:rPr>
          <w:rFonts w:hint="eastAsia" w:ascii="仿宋_GB2312" w:eastAsia="仿宋_GB2312"/>
          <w:color w:val="auto"/>
        </w:rPr>
        <w:t>202</w:t>
      </w:r>
      <w:r>
        <w:rPr>
          <w:rFonts w:hint="eastAsia" w:ascii="仿宋_GB2312" w:eastAsia="仿宋_GB2312"/>
          <w:color w:val="auto"/>
          <w:lang w:val="en-US" w:eastAsia="zh-CN"/>
        </w:rPr>
        <w:t>4</w:t>
      </w:r>
      <w:r>
        <w:rPr>
          <w:rFonts w:hint="eastAsia" w:ascii="仿宋_GB2312" w:eastAsia="仿宋_GB2312" w:cs="仿宋_GB2312"/>
          <w:color w:val="auto"/>
        </w:rPr>
        <w:t>年度专业技术人员继续教育（以下简称继续教育）有关工作通知如下：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200"/>
        <w:textAlignment w:val="auto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eastAsia="zh-CN"/>
        </w:rPr>
        <w:t>一、</w:t>
      </w:r>
      <w:r>
        <w:rPr>
          <w:rFonts w:hint="eastAsia" w:ascii="黑体" w:hAnsi="黑体" w:eastAsia="黑体" w:cs="黑体"/>
          <w:color w:val="auto"/>
        </w:rPr>
        <w:t>参加继续教育人员范围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全市各类企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业、机关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事业单位、社会团体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、个体经济组织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等的专业技术人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，从事专业技术工作的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自由职业者、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新型职业农民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技能人才。事业单位管理岗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位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、专业技术岗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位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均需要参加继续教育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200"/>
        <w:textAlignment w:val="auto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eastAsia="zh-CN"/>
        </w:rPr>
        <w:t>二、</w:t>
      </w:r>
      <w:r>
        <w:rPr>
          <w:rFonts w:hint="eastAsia" w:ascii="黑体" w:hAnsi="黑体" w:eastAsia="黑体" w:cs="黑体"/>
          <w:color w:val="auto"/>
        </w:rPr>
        <w:t>继续教育内容</w:t>
      </w:r>
      <w:r>
        <w:rPr>
          <w:rFonts w:hint="eastAsia" w:ascii="黑体" w:hAnsi="黑体" w:eastAsia="黑体" w:cs="黑体"/>
          <w:color w:val="auto"/>
          <w:lang w:eastAsia="zh-CN"/>
        </w:rPr>
        <w:t>及</w:t>
      </w:r>
      <w:r>
        <w:rPr>
          <w:rFonts w:hint="eastAsia" w:ascii="黑体" w:hAnsi="黑体" w:eastAsia="黑体" w:cs="黑体"/>
          <w:color w:val="auto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</w:rPr>
        <w:t>根据上级文件要求，专业技术人员应按规定参加继续教育，每年参加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继续教育累计应不少于90学时，其中，公需科目不少于30学时，专业科目不少于60学时。学习依托“淄博市专业技术人员继续教育公共服务云平台”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</w:rPr>
        <w:t>（以下简称“服务平台”，网址：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"http://sdzb.yxlearning.com" </w:instrText>
      </w:r>
      <w:r>
        <w:rPr>
          <w:color w:val="auto"/>
        </w:rPr>
        <w:fldChar w:fldCharType="separate"/>
      </w:r>
      <w:r>
        <w:rPr>
          <w:rStyle w:val="8"/>
          <w:rFonts w:hint="eastAsia" w:ascii="仿宋_GB2312" w:hAnsi="微软雅黑" w:eastAsia="仿宋_GB2312" w:cs="微软雅黑"/>
          <w:color w:val="auto"/>
          <w:u w:val="none"/>
          <w:shd w:val="clear" w:color="auto" w:fill="FFFFFF"/>
        </w:rPr>
        <w:t>http://sdzb.yxlearning.com</w:t>
      </w:r>
      <w:r>
        <w:rPr>
          <w:rStyle w:val="8"/>
          <w:rFonts w:hint="eastAsia" w:ascii="仿宋_GB2312" w:hAnsi="微软雅黑" w:eastAsia="仿宋_GB2312" w:cs="微软雅黑"/>
          <w:color w:val="auto"/>
          <w:u w:val="none"/>
          <w:shd w:val="clear" w:color="auto" w:fill="FFFFFF"/>
        </w:rPr>
        <w:fldChar w:fldCharType="end"/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</w:rPr>
        <w:t>）进行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  <w:lang w:eastAsia="zh-CN"/>
        </w:rPr>
        <w:t>。专业技术人员可通过淄博市人力资源社会保障局网站左下角“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职称评定·继续教育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”专栏“</w:t>
      </w:r>
      <w:r>
        <w:rPr>
          <w:rFonts w:hint="eastAsia" w:eastAsia="仿宋_GB2312"/>
          <w:sz w:val="32"/>
          <w:szCs w:val="32"/>
          <w:lang w:eastAsia="zh-CN"/>
        </w:rPr>
        <w:t>学习考试平台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”登录</w:t>
      </w:r>
      <w:r>
        <w:rPr>
          <w:rFonts w:hint="eastAsia" w:eastAsia="仿宋_GB2312"/>
          <w:sz w:val="32"/>
          <w:szCs w:val="32"/>
          <w:lang w:eastAsia="zh-CN"/>
        </w:rPr>
        <w:t>学习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Chars="200"/>
        <w:textAlignment w:val="auto"/>
        <w:rPr>
          <w:rFonts w:ascii="仿宋_GB2312" w:hAnsi="仿宋_GB2312" w:eastAsia="仿宋_GB2312" w:cs="仿宋_GB2312"/>
          <w:color w:val="auto"/>
          <w:sz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lang w:eastAsia="zh-CN"/>
        </w:rPr>
        <w:t>（一）</w:t>
      </w:r>
      <w:r>
        <w:rPr>
          <w:rFonts w:hint="eastAsia" w:ascii="楷体" w:hAnsi="楷体" w:eastAsia="楷体" w:cs="楷体"/>
          <w:color w:val="auto"/>
          <w:sz w:val="32"/>
        </w:rPr>
        <w:t>公需科目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必修课20个学时，包括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党史学习教育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黄河流域生态保护和高质量发展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绿色低碳高质量发展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专业技术人员职业道德和能力建设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等系列课程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shd w:val="clear" w:color="auto" w:fill="FFFFFF"/>
        </w:rPr>
        <w:t>；选修课10个学时，包括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数字技术、知识产权、网络安全、应急管理、医养健康、人才国际化、科学精神培育、团队合作建设、人文素养</w:t>
      </w:r>
      <w:r>
        <w:rPr>
          <w:rFonts w:hint="eastAsia" w:ascii="仿宋_GB2312" w:hAnsi="仿宋_GB2312" w:eastAsia="仿宋_GB2312" w:cs="仿宋_GB2312"/>
          <w:color w:val="auto"/>
          <w:sz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系列课程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2.专业技术人员参加“学习强国”学习，“年度积分”2000分以上的可按规定折算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val="en-US" w:eastAsia="zh-CN"/>
        </w:rPr>
        <w:t>选修课相应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学时。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Chars="200"/>
        <w:textAlignment w:val="auto"/>
        <w:rPr>
          <w:rFonts w:ascii="仿宋_GB2312" w:hAnsi="仿宋_GB2312" w:eastAsia="仿宋_GB2312" w:cs="仿宋_GB2312"/>
          <w:color w:val="auto"/>
          <w:sz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lang w:eastAsia="zh-CN"/>
        </w:rPr>
        <w:t>（二）</w:t>
      </w:r>
      <w:r>
        <w:rPr>
          <w:rFonts w:hint="eastAsia" w:ascii="楷体" w:hAnsi="楷体" w:eastAsia="楷体" w:cs="楷体"/>
          <w:color w:val="auto"/>
          <w:sz w:val="32"/>
        </w:rPr>
        <w:t>专业科目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黑体" w:eastAsia="仿宋_GB2312" w:cs="微软雅黑"/>
          <w:color w:val="auto"/>
          <w:sz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必修课20个学时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eastAsia="zh-CN"/>
        </w:rPr>
        <w:t>。</w:t>
      </w:r>
      <w:r>
        <w:rPr>
          <w:rFonts w:ascii="仿宋_GB2312" w:hAnsi="黑体" w:eastAsia="仿宋_GB2312" w:cs="微软雅黑"/>
          <w:color w:val="auto"/>
          <w:sz w:val="32"/>
          <w:shd w:val="clear" w:color="auto" w:fill="FFFFFF"/>
        </w:rPr>
        <w:t>需</w:t>
      </w:r>
      <w:r>
        <w:rPr>
          <w:rFonts w:hint="eastAsia" w:ascii="仿宋_GB2312" w:hAnsi="黑体" w:eastAsia="仿宋_GB2312" w:cs="微软雅黑"/>
          <w:color w:val="auto"/>
          <w:sz w:val="32"/>
          <w:shd w:val="clear" w:color="auto" w:fill="FFFFFF"/>
        </w:rPr>
        <w:t>要在服务</w:t>
      </w:r>
      <w:r>
        <w:rPr>
          <w:rFonts w:ascii="仿宋_GB2312" w:hAnsi="黑体" w:eastAsia="仿宋_GB2312" w:cs="微软雅黑"/>
          <w:color w:val="auto"/>
          <w:sz w:val="32"/>
          <w:shd w:val="clear" w:color="auto" w:fill="FFFFFF"/>
        </w:rPr>
        <w:t>平台</w:t>
      </w:r>
      <w:r>
        <w:rPr>
          <w:rFonts w:hint="eastAsia" w:ascii="仿宋_GB2312" w:hAnsi="黑体" w:eastAsia="仿宋_GB2312" w:cs="微软雅黑"/>
          <w:color w:val="auto"/>
          <w:sz w:val="32"/>
          <w:shd w:val="clear" w:color="auto" w:fill="FFFFFF"/>
        </w:rPr>
        <w:t>学习取得</w:t>
      </w:r>
      <w:r>
        <w:rPr>
          <w:rFonts w:hint="eastAsia" w:ascii="仿宋_GB2312" w:hAnsi="黑体" w:eastAsia="仿宋_GB2312" w:cs="微软雅黑"/>
          <w:color w:val="auto"/>
          <w:sz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选修课40个学时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一是可以参加由行业主管部门（单位）组织的学习或认定取得，其中，参</w:t>
      </w:r>
      <w:r>
        <w:rPr>
          <w:rFonts w:hint="eastAsia" w:ascii="仿宋_GB2312" w:hAnsi="仿宋" w:eastAsia="仿宋_GB2312" w:cs="仿宋"/>
          <w:color w:val="auto"/>
          <w:sz w:val="32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由行业主管部门（单位）组织、</w:t>
      </w:r>
      <w:r>
        <w:rPr>
          <w:rFonts w:hint="eastAsia" w:ascii="仿宋_GB2312" w:hAnsi="仿宋" w:eastAsia="仿宋_GB2312" w:cs="仿宋"/>
          <w:color w:val="auto"/>
          <w:sz w:val="32"/>
        </w:rPr>
        <w:t>人力资源社会保障部门认可的技能竞赛、技术比武、行业性比赛等活动，活动成果可按规定折算继续教育学时</w:t>
      </w: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；二是可以通过服务平台学习取得。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ascii="仿宋_GB2312" w:hAnsi="黑体" w:eastAsia="仿宋_GB2312" w:cs="微软雅黑"/>
          <w:color w:val="auto"/>
          <w:shd w:val="clear" w:color="auto" w:fill="FFFFFF"/>
        </w:rPr>
      </w:pPr>
      <w:r>
        <w:rPr>
          <w:rFonts w:hint="eastAsia" w:ascii="仿宋_GB2312" w:hAnsi="微软雅黑" w:eastAsia="仿宋_GB2312" w:cs="微软雅黑"/>
          <w:color w:val="auto"/>
          <w:shd w:val="clear" w:color="auto" w:fill="FFFFFF"/>
          <w:lang w:val="en-US" w:eastAsia="zh-CN"/>
        </w:rPr>
        <w:t>3.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</w:rPr>
        <w:t>服务平台提供5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  <w:lang w:val="en-US" w:eastAsia="zh-CN"/>
        </w:rPr>
        <w:t>6</w:t>
      </w:r>
      <w:r>
        <w:rPr>
          <w:rFonts w:ascii="仿宋_GB2312" w:hAnsi="微软雅黑" w:eastAsia="仿宋_GB2312" w:cs="微软雅黑"/>
          <w:color w:val="auto"/>
          <w:shd w:val="clear" w:color="auto" w:fill="FFFFFF"/>
        </w:rPr>
        <w:t>个系列（专业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</w:rPr>
        <w:t>）3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  <w:lang w:val="en-US" w:eastAsia="zh-CN"/>
        </w:rPr>
        <w:t>360</w:t>
      </w:r>
      <w:r>
        <w:rPr>
          <w:rFonts w:hint="eastAsia" w:ascii="仿宋_GB2312" w:hAnsi="微软雅黑" w:eastAsia="仿宋_GB2312" w:cs="微软雅黑"/>
          <w:color w:val="auto"/>
          <w:shd w:val="clear" w:color="auto" w:fill="FFFFFF"/>
        </w:rPr>
        <w:t>学时的必修课和选修课课程，其中选修课分别配置10学时、20学时、30学时、40学时的课程，专业技术人员可根据需要自行选择。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200"/>
        <w:textAlignment w:val="auto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lang w:eastAsia="zh-CN"/>
        </w:rPr>
        <w:t>三、</w:t>
      </w:r>
      <w:r>
        <w:rPr>
          <w:rFonts w:hint="eastAsia" w:ascii="黑体" w:hAnsi="黑体" w:eastAsia="黑体" w:cs="黑体"/>
          <w:color w:val="auto"/>
        </w:rPr>
        <w:t>学习形式</w:t>
      </w:r>
      <w:r>
        <w:rPr>
          <w:rFonts w:hint="eastAsia" w:ascii="黑体" w:hAnsi="黑体" w:eastAsia="黑体" w:cs="黑体"/>
          <w:color w:val="auto"/>
          <w:lang w:eastAsia="zh-CN"/>
        </w:rPr>
        <w:t>及</w:t>
      </w:r>
      <w:r>
        <w:rPr>
          <w:rFonts w:hint="eastAsia" w:ascii="黑体" w:hAnsi="黑体" w:eastAsia="黑体" w:cs="黑体"/>
          <w:color w:val="auto"/>
        </w:rPr>
        <w:t>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1.网上办、掌上办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专业技术人员在服务平台学习、考试、缴费、打印发票、学时申报、学时审核、证书打印、下载电子教材等全程网办；通过电脑端服务平台首页扫码下载“淄博专技培训”APP，可在手机端完成学习、缴费、考试。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40" w:leftChars="2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2.必修课学习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公需科目必修课和专业科目必修课在服务平台完成。对于公需科目的学习，系统提供练习题，可先做练习再考试，考试合格后取得相应学时；对于专业科目的学习，在学习过程中系统随机弹题提问，学员回答正确后方可继续学习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640" w:leftChars="200"/>
        <w:textAlignment w:val="auto"/>
        <w:rPr>
          <w:rFonts w:hint="eastAsia" w:ascii="楷体_GB2312" w:hAnsi="楷体_GB2312" w:eastAsia="楷体_GB2312" w:cs="楷体_GB2312"/>
          <w:color w:val="auto"/>
          <w:sz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</w:rPr>
        <w:t>3.学时折算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hd w:val="clear" w:color="auto" w:fill="FFFFFF"/>
        </w:rPr>
        <w:t>按照《关于加强专业技术人员继续教育工作的通知》（淄人社字〔2020〕56号）执行。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640" w:leftChars="2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4.补学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补学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2020—2023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auto"/>
        </w:rPr>
        <w:t>继续教育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课程</w:t>
      </w:r>
      <w:r>
        <w:rPr>
          <w:rFonts w:hint="eastAsia" w:ascii="仿宋_GB2312" w:hAnsi="仿宋_GB2312" w:eastAsia="仿宋_GB2312" w:cs="仿宋_GB2312"/>
          <w:color w:val="auto"/>
        </w:rPr>
        <w:t>的，可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分别点击“公需科目网络培训平台”、</w:t>
      </w:r>
      <w:r>
        <w:rPr>
          <w:rFonts w:hint="eastAsia" w:ascii="仿宋_GB2312" w:hAnsi="仿宋_GB2312" w:eastAsia="仿宋_GB2312" w:cs="仿宋_GB2312"/>
          <w:color w:val="auto"/>
        </w:rPr>
        <w:t>“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专业科目网络培训平台</w:t>
      </w:r>
      <w:r>
        <w:rPr>
          <w:rFonts w:hint="eastAsia" w:ascii="仿宋_GB2312" w:hAnsi="仿宋_GB2312" w:eastAsia="仿宋_GB2312" w:cs="仿宋_GB2312"/>
          <w:color w:val="auto"/>
        </w:rPr>
        <w:t>”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栏目，</w:t>
      </w:r>
      <w:r>
        <w:rPr>
          <w:rFonts w:hint="eastAsia" w:ascii="仿宋_GB2312" w:hAnsi="仿宋_GB2312" w:eastAsia="仿宋_GB2312" w:cs="仿宋_GB2312"/>
          <w:color w:val="auto"/>
        </w:rPr>
        <w:t>选择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相应</w:t>
      </w:r>
      <w:r>
        <w:rPr>
          <w:rFonts w:hint="eastAsia" w:ascii="仿宋_GB2312" w:hAnsi="仿宋_GB2312" w:eastAsia="仿宋_GB2312" w:cs="仿宋_GB2312"/>
          <w:color w:val="auto"/>
        </w:rPr>
        <w:t>年度课程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进行学习</w:t>
      </w:r>
      <w:r>
        <w:rPr>
          <w:rFonts w:hint="eastAsia" w:ascii="仿宋_GB2312" w:hAnsi="仿宋_GB2312" w:eastAsia="仿宋_GB2312" w:cs="仿宋_GB2312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5.数据共享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color w:val="auto"/>
        </w:rPr>
      </w:pPr>
      <w:r>
        <w:rPr>
          <w:rFonts w:hint="eastAsia" w:ascii="仿宋_GB2312" w:hAnsi="仿宋" w:eastAsia="仿宋_GB2312" w:cs="仿宋"/>
          <w:color w:val="auto"/>
        </w:rPr>
        <w:t>卫生</w:t>
      </w:r>
      <w:r>
        <w:rPr>
          <w:rFonts w:hint="eastAsia" w:ascii="仿宋_GB2312" w:hAnsi="仿宋" w:eastAsia="仿宋_GB2312" w:cs="仿宋"/>
          <w:color w:va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</w:rPr>
        <w:t>会计</w:t>
      </w:r>
      <w:r>
        <w:rPr>
          <w:rFonts w:hint="eastAsia" w:ascii="仿宋_GB2312" w:hAnsi="仿宋" w:eastAsia="仿宋_GB2312" w:cs="仿宋"/>
          <w:color w:val="auto"/>
        </w:rPr>
        <w:t>专业技术人员</w:t>
      </w:r>
      <w:r>
        <w:rPr>
          <w:rFonts w:hint="eastAsia" w:ascii="仿宋_GB2312" w:hAnsi="仿宋" w:eastAsia="仿宋_GB2312" w:cs="仿宋"/>
          <w:color w:val="auto"/>
          <w:lang w:eastAsia="zh-CN"/>
        </w:rPr>
        <w:t>参加行业主管部门组织的继续教育培训</w:t>
      </w:r>
      <w:r>
        <w:rPr>
          <w:rFonts w:hint="eastAsia" w:ascii="仿宋_GB2312" w:hAnsi="仿宋" w:eastAsia="仿宋_GB2312" w:cs="仿宋"/>
          <w:color w:val="auto"/>
        </w:rPr>
        <w:t>，合格人员及学习数据自动推送至服务平台，由服务平台自动</w:t>
      </w:r>
      <w:r>
        <w:rPr>
          <w:rFonts w:hint="eastAsia" w:ascii="仿宋_GB2312" w:hAnsi="仿宋_GB2312" w:eastAsia="仿宋_GB2312" w:cs="仿宋_GB2312"/>
          <w:color w:val="auto"/>
        </w:rPr>
        <w:t>认定相应学时，</w:t>
      </w:r>
      <w:r>
        <w:rPr>
          <w:rFonts w:hint="eastAsia" w:ascii="仿宋_GB2312" w:hAnsi="仿宋" w:eastAsia="仿宋_GB2312" w:cs="仿宋"/>
          <w:color w:val="auto"/>
        </w:rPr>
        <w:t>无需个人手工申报。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</w:rPr>
      </w:pPr>
      <w:r>
        <w:rPr>
          <w:rFonts w:hint="eastAsia" w:ascii="仿宋_GB2312" w:hAnsi="仿宋" w:eastAsia="仿宋_GB2312" w:cs="仿宋"/>
          <w:color w:val="auto"/>
        </w:rPr>
        <w:t>档案等专业技术人员参加行业主管部门组织的培训，可折算相应专业科目学时。市、区县行业主管部门可通过系统入口批量导入合格人员学习数据。无法导入的，可由专业技术人员上传证明材料，由单位认定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</w:rPr>
      </w:pPr>
      <w:r>
        <w:rPr>
          <w:rFonts w:hint="eastAsia" w:ascii="仿宋_GB2312" w:hAnsi="仿宋" w:eastAsia="仿宋_GB2312" w:cs="仿宋"/>
          <w:color w:val="auto"/>
          <w:lang w:eastAsia="zh-CN"/>
        </w:rPr>
        <w:t>支持</w:t>
      </w:r>
      <w:r>
        <w:rPr>
          <w:rFonts w:hint="eastAsia" w:ascii="仿宋_GB2312" w:hAnsi="仿宋" w:eastAsia="仿宋_GB2312" w:cs="仿宋"/>
          <w:color w:val="auto"/>
        </w:rPr>
        <w:t>行业主管部门的专业培训平台与服务平台对接，实现数据共享和自动认定学时，为专业技术人员</w:t>
      </w:r>
      <w:r>
        <w:rPr>
          <w:rFonts w:hint="eastAsia" w:ascii="仿宋_GB2312" w:hAnsi="仿宋" w:eastAsia="仿宋_GB2312" w:cs="仿宋"/>
          <w:color w:val="auto"/>
          <w:lang w:eastAsia="zh-CN"/>
        </w:rPr>
        <w:t>参加学习</w:t>
      </w:r>
      <w:r>
        <w:rPr>
          <w:rFonts w:hint="eastAsia" w:ascii="仿宋_GB2312" w:hAnsi="仿宋" w:eastAsia="仿宋_GB2312" w:cs="仿宋"/>
          <w:color w:val="auto"/>
        </w:rPr>
        <w:t>提供</w:t>
      </w:r>
      <w:r>
        <w:rPr>
          <w:rFonts w:hint="eastAsia" w:ascii="仿宋_GB2312" w:hAnsi="仿宋" w:eastAsia="仿宋_GB2312" w:cs="仿宋"/>
          <w:color w:val="auto"/>
          <w:lang w:eastAsia="zh-CN"/>
        </w:rPr>
        <w:t>优质</w:t>
      </w:r>
      <w:r>
        <w:rPr>
          <w:rFonts w:hint="eastAsia" w:ascii="仿宋_GB2312" w:hAnsi="仿宋" w:eastAsia="仿宋_GB2312" w:cs="仿宋"/>
          <w:color w:val="auto"/>
        </w:rPr>
        <w:t>便捷服务。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6.鼓励专业技术人员参加技能提升培训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</w:rPr>
      </w:pPr>
      <w:r>
        <w:rPr>
          <w:rFonts w:hint="eastAsia" w:ascii="仿宋_GB2312" w:hAnsi="仿宋" w:eastAsia="仿宋_GB2312" w:cs="仿宋"/>
          <w:color w:val="auto"/>
        </w:rPr>
        <w:t>企业专业技术人员参加“金蓝领”等职业技能提升培训，取得相应职业资格证书、职业技能等级证书的，可作为专业技术人员继续教育依据，</w:t>
      </w:r>
      <w:r>
        <w:rPr>
          <w:rFonts w:hint="eastAsia" w:ascii="仿宋_GB2312" w:hAnsi="仿宋" w:eastAsia="仿宋_GB2312" w:cs="仿宋"/>
          <w:color w:val="auto"/>
          <w:lang w:eastAsia="zh-CN"/>
        </w:rPr>
        <w:t>并</w:t>
      </w:r>
      <w:r>
        <w:rPr>
          <w:rFonts w:hint="eastAsia" w:ascii="仿宋_GB2312" w:hAnsi="仿宋" w:eastAsia="仿宋_GB2312" w:cs="仿宋"/>
          <w:color w:val="auto"/>
        </w:rPr>
        <w:t>折算相应专业课学时。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200"/>
        <w:textAlignment w:val="auto"/>
        <w:rPr>
          <w:rFonts w:ascii="黑体" w:hAnsi="黑体" w:eastAsia="黑体" w:cs="黑体"/>
          <w:color w:val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hd w:val="clear" w:color="auto" w:fill="FFFFFF"/>
        </w:rPr>
        <w:t>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年度继续教育培训时间为202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月1日至202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年12月31日。本年度申报职称评审的人员，应于申报时间截止前完成继续教育学习。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五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、开展数字技术工程师培育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各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区县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人力资源社会保障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应结合</w:t>
      </w:r>
      <w:r>
        <w:rPr>
          <w:rFonts w:hint="eastAsia" w:eastAsia="仿宋_GB2312" w:cs="Times New Roman"/>
          <w:snapToGrid w:val="0"/>
          <w:kern w:val="0"/>
          <w:sz w:val="32"/>
          <w:szCs w:val="32"/>
          <w:lang w:val="en-US" w:eastAsia="zh-CN"/>
        </w:rPr>
        <w:t>本辖区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数字技术人才培育需求，制定数字技术工程师年度培训计划，主动与我省数字技术工程师培训机构对接沟通，共同做好培育项目的招生和组织实施。应拓展数字技术工程培育项目招生方式，鼓励面向先进制造业企业、数字化转型企业、高校毕业生等重点行业、重点企业、重点群体开设定制化培训班，提升培育项目的针对性和实效性。山东省数字技术工程师培训机构名单及联系方式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hd w:val="clear" w:color="auto" w:fill="FFFFFF"/>
        </w:rPr>
        <w:t>、有关</w:t>
      </w:r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工作</w:t>
      </w:r>
      <w:r>
        <w:rPr>
          <w:rFonts w:hint="eastAsia" w:ascii="黑体" w:hAnsi="黑体" w:eastAsia="黑体" w:cs="黑体"/>
          <w:color w:val="auto"/>
          <w:shd w:val="clear" w:color="auto" w:fill="FFFFFF"/>
        </w:rPr>
        <w:t>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保障学习权益。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用人单位应支持专业技术人员参加继续教育学习，提供必要的学习条件和时间，并根据</w:t>
      </w:r>
      <w:r>
        <w:rPr>
          <w:rFonts w:hint="eastAsia" w:ascii="仿宋_GB2312" w:hAnsi="仿宋" w:eastAsia="仿宋_GB2312" w:cs="仿宋"/>
          <w:color w:val="auto"/>
        </w:rPr>
        <w:t>《专业技术人员继续教育规定》</w:t>
      </w:r>
      <w:r>
        <w:rPr>
          <w:rFonts w:hint="eastAsia" w:ascii="仿宋_GB2312" w:hAnsi="仿宋" w:eastAsia="仿宋_GB2312" w:cs="仿宋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依法依规提取和使用职工教育经费，用于继续教育和各类培训。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各高等院校等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职称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自主评聘单位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专业技术人员参加职称评聘，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应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按照国家和我省相关规定参加专业技术人员继续教育，完成规定的学习内容和学时。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加强结果运用。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各部门、各单位要强化继续教育结果的使用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，用人单位应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建立本单位专业技术人员继续教育与使用、晋升相衔接的激励机制，把专业技术人员参加继续教育情况作为专业技术人员考核、聘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任和申报评审职称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的重要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条件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color w:val="auto"/>
        </w:rPr>
        <w:t>区县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人力资源社会保障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</w:rPr>
        <w:t>也要研究相关措施，提升继续教育质效。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val="en-US" w:eastAsia="zh-CN"/>
        </w:rPr>
        <w:t>对继续教育作为职业资格登记或者注册的必要条件的，行业主管部门要按有关法律法规落实。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强化督导落实。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市人力资源社会保障局负责对全市继续教育工作进行综合管理、统筹协调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淄博职业学院负责继续教育日常管理、投诉举报处理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区县人力资源社会保障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负责本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辖区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继续教育工作的组织实施和综合管理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各部门、各单位要指定专人负责服务平台的管理、应用等工作，规范学时登记、审核和认定管理，建立完善继续教育学习档案，审核完善专业技术人员各类信息，督促相关人员按时完成各项继续教育任务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hd w:val="clear" w:color="auto" w:fill="FFFFFF"/>
        </w:rPr>
        <w:t>学时认定按照“谁审核，谁负责”的原则，责任落实到人。对于弄虚作假的单位或个人，将其失信行为记录在案，在“淄博市专业技术人员继续教育公共服务云平台”或“信用中国（山东）”栏目中曝光，情节严重的按程序提请有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hd w:val="clear" w:color="auto" w:fill="FFFFFF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hd w:val="clear" w:color="auto" w:fill="FFFFFF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（一）服务平台、各级继续教育主管部门联系方式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1.继续教育服务平台：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0531</w:t>
      </w:r>
      <w:r>
        <w:rPr>
          <w:rFonts w:hint="eastAsia" w:ascii="仿宋_GB2312" w:hAnsi="仿宋_GB2312" w:eastAsia="仿宋_GB2312" w:cs="仿宋_GB2312"/>
          <w:color w:val="auto"/>
        </w:rPr>
        <w:t>-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68962778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2.市级继续教育主管部门：2342199、2791839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3.区县继续教育主管部门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张店区：2869921、淄川区：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5289826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博山区：4110146、周村区：6195235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临淄区：7363508、桓台县：818375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高青县：6967136、沂源县：3221191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</w:rPr>
        <w:t>高新区：35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81158</w:t>
      </w:r>
      <w:r>
        <w:rPr>
          <w:rFonts w:hint="eastAsia" w:ascii="仿宋_GB2312" w:hAnsi="仿宋_GB2312" w:eastAsia="仿宋_GB2312" w:cs="仿宋_GB2312"/>
          <w:color w:val="auto"/>
        </w:rPr>
        <w:t>、经开区：7870210、文昌湖区：6030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（二）继续教育单位管理员QQ交流群：755671914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color w:val="auto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山东省数字技术工程师培训机构名单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color w:val="auto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 w:cs="仿宋"/>
          <w:color w:val="auto"/>
        </w:rPr>
      </w:pPr>
      <w:r>
        <w:rPr>
          <w:rFonts w:hint="eastAsia" w:ascii="仿宋_GB2312" w:hAnsi="仿宋" w:eastAsia="仿宋_GB2312" w:cs="仿宋"/>
          <w:color w:val="auto"/>
        </w:rPr>
        <w:t xml:space="preserve">  </w:t>
      </w:r>
      <w:r>
        <w:rPr>
          <w:rFonts w:hint="eastAsia" w:ascii="仿宋_GB2312" w:hAnsi="仿宋" w:eastAsia="仿宋_GB2312" w:cs="仿宋"/>
          <w:color w:val="auto"/>
          <w:lang w:val="en-US" w:eastAsia="zh-CN"/>
        </w:rPr>
        <w:t xml:space="preserve">                        </w:t>
      </w:r>
      <w:r>
        <w:rPr>
          <w:rFonts w:hint="eastAsia" w:ascii="仿宋_GB2312" w:hAnsi="仿宋" w:eastAsia="仿宋_GB2312" w:cs="仿宋"/>
          <w:color w:val="auto"/>
        </w:rPr>
        <w:t xml:space="preserve">淄博市人力资源和社会保障局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" w:eastAsia="仿宋_GB2312" w:cs="仿宋"/>
          <w:color w:val="auto"/>
        </w:rPr>
      </w:pPr>
      <w:r>
        <w:rPr>
          <w:rFonts w:hint="eastAsia" w:ascii="仿宋_GB2312" w:hAnsi="仿宋" w:eastAsia="仿宋_GB2312" w:cs="仿宋"/>
          <w:color w:val="auto"/>
        </w:rPr>
        <w:t>202</w:t>
      </w:r>
      <w:r>
        <w:rPr>
          <w:rFonts w:hint="eastAsia" w:ascii="仿宋_GB2312" w:hAnsi="仿宋" w:eastAsia="仿宋_GB2312" w:cs="仿宋"/>
          <w:color w:val="auto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</w:rPr>
        <w:t>年</w:t>
      </w:r>
      <w:r>
        <w:rPr>
          <w:rFonts w:hint="eastAsia" w:ascii="仿宋_GB2312" w:hAnsi="仿宋" w:eastAsia="仿宋_GB2312" w:cs="仿宋"/>
          <w:color w:val="auto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</w:rPr>
        <w:t>月</w:t>
      </w:r>
      <w:r>
        <w:rPr>
          <w:rFonts w:hint="eastAsia" w:ascii="仿宋_GB2312" w:hAnsi="仿宋" w:eastAsia="仿宋_GB2312" w:cs="仿宋"/>
          <w:color w:val="auto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eastAsia" w:ascii="仿宋_GB2312" w:hAnsi="仿宋" w:eastAsia="仿宋_GB2312" w:cs="仿宋"/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（联系单位：专业技术人员管理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科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）</w:t>
      </w:r>
    </w:p>
    <w:p>
      <w:pPr>
        <w:autoSpaceDE w:val="0"/>
        <w:spacing w:line="580" w:lineRule="exact"/>
        <w:ind w:firstLine="5120" w:firstLineChars="1600"/>
        <w:jc w:val="left"/>
        <w:rPr>
          <w:rFonts w:hint="eastAsia" w:ascii="仿宋_GB2312" w:hAnsi="仿宋" w:eastAsia="仿宋_GB2312" w:cs="仿宋"/>
          <w:color w:val="auto"/>
        </w:rPr>
      </w:pPr>
    </w:p>
    <w:p>
      <w:pPr>
        <w:autoSpaceDE w:val="0"/>
        <w:spacing w:line="580" w:lineRule="exact"/>
        <w:jc w:val="left"/>
        <w:rPr>
          <w:rFonts w:hint="eastAsia" w:ascii="仿宋_GB2312" w:hAnsi="仿宋" w:eastAsia="仿宋_GB2312" w:cs="仿宋"/>
          <w:color w:val="auto"/>
        </w:rPr>
      </w:pPr>
    </w:p>
    <w:p>
      <w:pPr>
        <w:autoSpaceDE w:val="0"/>
        <w:spacing w:line="580" w:lineRule="exact"/>
        <w:ind w:firstLine="5120" w:firstLineChars="1600"/>
        <w:jc w:val="left"/>
        <w:rPr>
          <w:rFonts w:hint="eastAsia" w:ascii="仿宋_GB2312" w:hAnsi="仿宋" w:eastAsia="仿宋_GB2312" w:cs="仿宋"/>
          <w:color w:val="auto"/>
        </w:rPr>
        <w:sectPr>
          <w:footerReference r:id="rId3" w:type="default"/>
          <w:pgSz w:w="11906" w:h="16838"/>
          <w:pgMar w:top="2041" w:right="1474" w:bottom="1871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Style w:val="12"/>
          <w:sz w:val="44"/>
          <w:szCs w:val="44"/>
          <w:lang w:val="en-US" w:eastAsia="zh-CN" w:bidi="ar"/>
        </w:rPr>
      </w:pPr>
      <w:r>
        <w:rPr>
          <w:rStyle w:val="11"/>
          <w:sz w:val="44"/>
          <w:szCs w:val="44"/>
          <w:lang w:val="en-US" w:eastAsia="zh-CN" w:bidi="ar"/>
        </w:rPr>
        <w:t>山东省数字技术工程师培训机构名单</w:t>
      </w:r>
      <w:r>
        <w:rPr>
          <w:rStyle w:val="12"/>
          <w:sz w:val="44"/>
          <w:szCs w:val="44"/>
          <w:lang w:val="en-US" w:eastAsia="zh-CN" w:bidi="ar"/>
        </w:rPr>
        <w:t>（顺序不分先后）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Style w:val="12"/>
          <w:rFonts w:hint="default"/>
          <w:sz w:val="44"/>
          <w:szCs w:val="44"/>
          <w:lang w:val="en-US" w:eastAsia="zh-CN" w:bidi="ar"/>
        </w:rPr>
      </w:pPr>
    </w:p>
    <w:tbl>
      <w:tblPr>
        <w:tblStyle w:val="6"/>
        <w:tblW w:w="134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3059"/>
        <w:gridCol w:w="4807"/>
        <w:gridCol w:w="3744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培训机构名称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机构驻地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济南大学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，0531-89736020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浪潮集团有限公司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人工智能、云计算、工业互联网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，0531-85106080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，0531-59689689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，0531-86366503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山东劳动职业技术学院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物联网、区块链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，0531-87196508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山东职业学院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，0531-82431359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物联网、数字化管理师、大数据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，0532-85901651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大数据、区块链、人工智能、物联网、云计算、数字化管理师、工业互联网、虚拟现实、集成电路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，0532-86980900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、王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，0533-2781040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智能制造、人工智能、大数据、集成电路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，0535-6672813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山东科技职业学院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，0536-8187487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山东信息职业技术学院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，0536-2931612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哈尔滨工业大学（威海）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老师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，0631-5687018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</w:tr>
    </w:tbl>
    <w:p>
      <w:pPr>
        <w:autoSpaceDE w:val="0"/>
        <w:spacing w:line="580" w:lineRule="exact"/>
        <w:ind w:firstLine="5120" w:firstLineChars="1600"/>
        <w:jc w:val="left"/>
        <w:rPr>
          <w:rFonts w:hint="eastAsia" w:ascii="仿宋_GB2312" w:hAnsi="仿宋" w:eastAsia="仿宋_GB2312" w:cs="仿宋"/>
          <w:color w:val="auto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22C64"/>
    <w:rsid w:val="00395F47"/>
    <w:rsid w:val="004674F2"/>
    <w:rsid w:val="00526C70"/>
    <w:rsid w:val="005A723C"/>
    <w:rsid w:val="00644A56"/>
    <w:rsid w:val="00867640"/>
    <w:rsid w:val="00B24A50"/>
    <w:rsid w:val="010B1C1A"/>
    <w:rsid w:val="01E36737"/>
    <w:rsid w:val="022133B3"/>
    <w:rsid w:val="024B5DAE"/>
    <w:rsid w:val="025F738A"/>
    <w:rsid w:val="028D2F04"/>
    <w:rsid w:val="02F05B3B"/>
    <w:rsid w:val="03D5683F"/>
    <w:rsid w:val="04397DC7"/>
    <w:rsid w:val="04C572D8"/>
    <w:rsid w:val="0538570E"/>
    <w:rsid w:val="05616289"/>
    <w:rsid w:val="05901E8B"/>
    <w:rsid w:val="05C8603C"/>
    <w:rsid w:val="05FC70DE"/>
    <w:rsid w:val="06192F75"/>
    <w:rsid w:val="06625D9A"/>
    <w:rsid w:val="06CA22A1"/>
    <w:rsid w:val="078C7147"/>
    <w:rsid w:val="07EB6F19"/>
    <w:rsid w:val="07EF1446"/>
    <w:rsid w:val="08127D3D"/>
    <w:rsid w:val="084B68E7"/>
    <w:rsid w:val="08D40510"/>
    <w:rsid w:val="08E52254"/>
    <w:rsid w:val="09C73C8C"/>
    <w:rsid w:val="0A3955CF"/>
    <w:rsid w:val="0AF42B74"/>
    <w:rsid w:val="0B2148AE"/>
    <w:rsid w:val="0B26108A"/>
    <w:rsid w:val="0B782ED1"/>
    <w:rsid w:val="0B7E08D6"/>
    <w:rsid w:val="0D5D3A20"/>
    <w:rsid w:val="0D856AA1"/>
    <w:rsid w:val="0D8870F6"/>
    <w:rsid w:val="0DBD3E54"/>
    <w:rsid w:val="111A7A1B"/>
    <w:rsid w:val="11CC11CF"/>
    <w:rsid w:val="11FA0C0F"/>
    <w:rsid w:val="12E42233"/>
    <w:rsid w:val="134E2438"/>
    <w:rsid w:val="138B07BC"/>
    <w:rsid w:val="1396569B"/>
    <w:rsid w:val="13D2029E"/>
    <w:rsid w:val="147F5ADB"/>
    <w:rsid w:val="14CD03DE"/>
    <w:rsid w:val="14E31AB1"/>
    <w:rsid w:val="150C139B"/>
    <w:rsid w:val="15BE6AB6"/>
    <w:rsid w:val="161D45AD"/>
    <w:rsid w:val="163F5F8F"/>
    <w:rsid w:val="16472A67"/>
    <w:rsid w:val="16AE7DC3"/>
    <w:rsid w:val="17095C3C"/>
    <w:rsid w:val="17426566"/>
    <w:rsid w:val="17683F95"/>
    <w:rsid w:val="18215CF1"/>
    <w:rsid w:val="188F56F3"/>
    <w:rsid w:val="19144619"/>
    <w:rsid w:val="19FA2EE6"/>
    <w:rsid w:val="1A216229"/>
    <w:rsid w:val="1AA5696C"/>
    <w:rsid w:val="1AFD65DA"/>
    <w:rsid w:val="1B0C5961"/>
    <w:rsid w:val="1C2926F1"/>
    <w:rsid w:val="1CF35711"/>
    <w:rsid w:val="1D427FBB"/>
    <w:rsid w:val="1DA35786"/>
    <w:rsid w:val="1E345BD9"/>
    <w:rsid w:val="1E6B1AD7"/>
    <w:rsid w:val="1E766929"/>
    <w:rsid w:val="1EFA430F"/>
    <w:rsid w:val="1F870661"/>
    <w:rsid w:val="203540C2"/>
    <w:rsid w:val="205C23C8"/>
    <w:rsid w:val="20A307CA"/>
    <w:rsid w:val="21270847"/>
    <w:rsid w:val="21722B29"/>
    <w:rsid w:val="217803A9"/>
    <w:rsid w:val="22B12F7D"/>
    <w:rsid w:val="230B141B"/>
    <w:rsid w:val="23860152"/>
    <w:rsid w:val="23FC183E"/>
    <w:rsid w:val="24A75E48"/>
    <w:rsid w:val="24CE1751"/>
    <w:rsid w:val="250856F8"/>
    <w:rsid w:val="256B2397"/>
    <w:rsid w:val="257866D6"/>
    <w:rsid w:val="26452C9D"/>
    <w:rsid w:val="273C00C2"/>
    <w:rsid w:val="279F1955"/>
    <w:rsid w:val="27A12831"/>
    <w:rsid w:val="27AE742A"/>
    <w:rsid w:val="27E22C64"/>
    <w:rsid w:val="27F5417D"/>
    <w:rsid w:val="280E02B1"/>
    <w:rsid w:val="28907745"/>
    <w:rsid w:val="2993089E"/>
    <w:rsid w:val="2A2C02B3"/>
    <w:rsid w:val="2AC223FD"/>
    <w:rsid w:val="2B0A72FA"/>
    <w:rsid w:val="2B361BD4"/>
    <w:rsid w:val="2BED0F80"/>
    <w:rsid w:val="2CC755A5"/>
    <w:rsid w:val="2D413B57"/>
    <w:rsid w:val="2D6E055B"/>
    <w:rsid w:val="2D86462A"/>
    <w:rsid w:val="2D867995"/>
    <w:rsid w:val="2D8E33F5"/>
    <w:rsid w:val="2DAF42D0"/>
    <w:rsid w:val="2E2D2FDD"/>
    <w:rsid w:val="2E9E2F7C"/>
    <w:rsid w:val="2ED9258E"/>
    <w:rsid w:val="2F1633C7"/>
    <w:rsid w:val="30284149"/>
    <w:rsid w:val="30561CED"/>
    <w:rsid w:val="30E5462C"/>
    <w:rsid w:val="31AE25EC"/>
    <w:rsid w:val="31C64750"/>
    <w:rsid w:val="33087590"/>
    <w:rsid w:val="352A6C44"/>
    <w:rsid w:val="35433847"/>
    <w:rsid w:val="354E7E17"/>
    <w:rsid w:val="35596E8A"/>
    <w:rsid w:val="36A55D9D"/>
    <w:rsid w:val="36DE3D06"/>
    <w:rsid w:val="370A2566"/>
    <w:rsid w:val="370E4D41"/>
    <w:rsid w:val="37157C0B"/>
    <w:rsid w:val="37182BA1"/>
    <w:rsid w:val="37EF5D3A"/>
    <w:rsid w:val="3867496F"/>
    <w:rsid w:val="38994F24"/>
    <w:rsid w:val="38EA6C10"/>
    <w:rsid w:val="39076AF1"/>
    <w:rsid w:val="391D6DCE"/>
    <w:rsid w:val="39CB51F5"/>
    <w:rsid w:val="39FC38D9"/>
    <w:rsid w:val="3A2E41BA"/>
    <w:rsid w:val="3A3643CE"/>
    <w:rsid w:val="3A430348"/>
    <w:rsid w:val="3B13229B"/>
    <w:rsid w:val="3B5F1CC6"/>
    <w:rsid w:val="3BDD0E17"/>
    <w:rsid w:val="3D5A0E65"/>
    <w:rsid w:val="3D934696"/>
    <w:rsid w:val="3D943862"/>
    <w:rsid w:val="3DA10DAA"/>
    <w:rsid w:val="3DD81E4B"/>
    <w:rsid w:val="3DE0211B"/>
    <w:rsid w:val="3DF82859"/>
    <w:rsid w:val="3EB5176D"/>
    <w:rsid w:val="3F4211FC"/>
    <w:rsid w:val="40B83F35"/>
    <w:rsid w:val="40F11511"/>
    <w:rsid w:val="41404D03"/>
    <w:rsid w:val="42A856BC"/>
    <w:rsid w:val="43A1255C"/>
    <w:rsid w:val="448B628C"/>
    <w:rsid w:val="4495006B"/>
    <w:rsid w:val="44D73DB7"/>
    <w:rsid w:val="44F6275A"/>
    <w:rsid w:val="45735A15"/>
    <w:rsid w:val="459473DD"/>
    <w:rsid w:val="47724740"/>
    <w:rsid w:val="47BB58C2"/>
    <w:rsid w:val="4833598D"/>
    <w:rsid w:val="48342818"/>
    <w:rsid w:val="48BB5B12"/>
    <w:rsid w:val="48CF19AD"/>
    <w:rsid w:val="494C5CC0"/>
    <w:rsid w:val="49556EA5"/>
    <w:rsid w:val="49B26680"/>
    <w:rsid w:val="49C4462F"/>
    <w:rsid w:val="4C721CA6"/>
    <w:rsid w:val="4CC30843"/>
    <w:rsid w:val="4CDD14AC"/>
    <w:rsid w:val="4D2B020C"/>
    <w:rsid w:val="4D7403A9"/>
    <w:rsid w:val="4E66664E"/>
    <w:rsid w:val="4E76602B"/>
    <w:rsid w:val="4EC12171"/>
    <w:rsid w:val="503A0499"/>
    <w:rsid w:val="50A2148A"/>
    <w:rsid w:val="50B42FCC"/>
    <w:rsid w:val="5183298C"/>
    <w:rsid w:val="53815C84"/>
    <w:rsid w:val="541D5DFA"/>
    <w:rsid w:val="54D82502"/>
    <w:rsid w:val="55F21D88"/>
    <w:rsid w:val="5607790B"/>
    <w:rsid w:val="564F2C81"/>
    <w:rsid w:val="567B5498"/>
    <w:rsid w:val="5717357E"/>
    <w:rsid w:val="573827BF"/>
    <w:rsid w:val="579E3274"/>
    <w:rsid w:val="57FC19D2"/>
    <w:rsid w:val="58AB15F5"/>
    <w:rsid w:val="58FC5DFF"/>
    <w:rsid w:val="59307DD9"/>
    <w:rsid w:val="597E5FBB"/>
    <w:rsid w:val="59C60121"/>
    <w:rsid w:val="59D13F36"/>
    <w:rsid w:val="5A342B39"/>
    <w:rsid w:val="5ADF0BB8"/>
    <w:rsid w:val="5BAE3155"/>
    <w:rsid w:val="5BC632C8"/>
    <w:rsid w:val="5BD24940"/>
    <w:rsid w:val="5BF157E9"/>
    <w:rsid w:val="5BF2623D"/>
    <w:rsid w:val="5C163182"/>
    <w:rsid w:val="5D57550C"/>
    <w:rsid w:val="5D667174"/>
    <w:rsid w:val="5DE85DC7"/>
    <w:rsid w:val="5E24497D"/>
    <w:rsid w:val="5E505F59"/>
    <w:rsid w:val="5E6E09CA"/>
    <w:rsid w:val="5ECD26B0"/>
    <w:rsid w:val="600E5AC3"/>
    <w:rsid w:val="60516772"/>
    <w:rsid w:val="607B3690"/>
    <w:rsid w:val="60D25922"/>
    <w:rsid w:val="60FF17B1"/>
    <w:rsid w:val="613D50D0"/>
    <w:rsid w:val="62780B8F"/>
    <w:rsid w:val="62870646"/>
    <w:rsid w:val="639651DC"/>
    <w:rsid w:val="63F12DA1"/>
    <w:rsid w:val="64DC29EA"/>
    <w:rsid w:val="654E56C8"/>
    <w:rsid w:val="657B7155"/>
    <w:rsid w:val="6611595D"/>
    <w:rsid w:val="662C651C"/>
    <w:rsid w:val="66DB7D86"/>
    <w:rsid w:val="66E96E4F"/>
    <w:rsid w:val="67611005"/>
    <w:rsid w:val="67A02700"/>
    <w:rsid w:val="683334C3"/>
    <w:rsid w:val="68825AA8"/>
    <w:rsid w:val="68F9044B"/>
    <w:rsid w:val="69621F1C"/>
    <w:rsid w:val="69923A49"/>
    <w:rsid w:val="6A1239E0"/>
    <w:rsid w:val="6A84101D"/>
    <w:rsid w:val="6BBD2066"/>
    <w:rsid w:val="6CA611AE"/>
    <w:rsid w:val="6CD9097A"/>
    <w:rsid w:val="6CE32093"/>
    <w:rsid w:val="6D9810A5"/>
    <w:rsid w:val="6DBC60C2"/>
    <w:rsid w:val="6EAD1737"/>
    <w:rsid w:val="6EE3714B"/>
    <w:rsid w:val="6F1B6B0D"/>
    <w:rsid w:val="6F4A5C45"/>
    <w:rsid w:val="6F4D3C57"/>
    <w:rsid w:val="6F5C6741"/>
    <w:rsid w:val="6F967546"/>
    <w:rsid w:val="6FB412FC"/>
    <w:rsid w:val="717F3DE0"/>
    <w:rsid w:val="71FB1F3F"/>
    <w:rsid w:val="72AD74D6"/>
    <w:rsid w:val="73BA4D39"/>
    <w:rsid w:val="73C0766E"/>
    <w:rsid w:val="73FA2F13"/>
    <w:rsid w:val="74B536E6"/>
    <w:rsid w:val="75596F3C"/>
    <w:rsid w:val="7614663E"/>
    <w:rsid w:val="76595E1F"/>
    <w:rsid w:val="76FE5237"/>
    <w:rsid w:val="780152AE"/>
    <w:rsid w:val="78050AF5"/>
    <w:rsid w:val="78EC2CAB"/>
    <w:rsid w:val="79450CD6"/>
    <w:rsid w:val="79FD2EA3"/>
    <w:rsid w:val="7A05600B"/>
    <w:rsid w:val="7A0D0E34"/>
    <w:rsid w:val="7A1133CD"/>
    <w:rsid w:val="7A9168F0"/>
    <w:rsid w:val="7B17616E"/>
    <w:rsid w:val="7B864091"/>
    <w:rsid w:val="7B9859A2"/>
    <w:rsid w:val="7BBD31D5"/>
    <w:rsid w:val="7C4E60AC"/>
    <w:rsid w:val="7CA63C9A"/>
    <w:rsid w:val="7D6358E0"/>
    <w:rsid w:val="7D8C2455"/>
    <w:rsid w:val="7E8238C4"/>
    <w:rsid w:val="7EA009AB"/>
    <w:rsid w:val="7F7A784C"/>
    <w:rsid w:val="7FD056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Hyperlink"/>
    <w:basedOn w:val="7"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0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465</Words>
  <Characters>2653</Characters>
  <Lines>22</Lines>
  <Paragraphs>6</Paragraphs>
  <TotalTime>37</TotalTime>
  <ScaleCrop>false</ScaleCrop>
  <LinksUpToDate>false</LinksUpToDate>
  <CharactersWithSpaces>3112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2021-03-04T02:17:00Z</dcterms:created>
  <dc:creator>Lenovo File</dc:creator>
  <cp:lastModifiedBy>Administrator</cp:lastModifiedBy>
  <cp:lastPrinted>2022-04-12T01:14:00Z</cp:lastPrinted>
  <dcterms:modified xsi:type="dcterms:W3CDTF">2024-04-08T01:32:13Z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93065697E0B1402396534836FAC5470D</vt:lpwstr>
  </property>
</Properties>
</file>